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ascii="黑体" w:hAnsi="黑体" w:eastAsia="黑体"/>
          <w:spacing w:val="-4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0</wp:posOffset>
                </wp:positionV>
                <wp:extent cx="401955" cy="5590540"/>
                <wp:effectExtent l="7620" t="7620" r="9525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5590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— 21 —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85pt;margin-top:0pt;height:440.2pt;width:31.65pt;z-index:251665408;mso-width-relative:page;mso-height-relative:page;" fillcolor="#FFFFFF" filled="t" stroked="t" coordsize="21600,21600" o:gfxdata="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2x94K1AAAAAcBAAAPAAAAAAAAAAEAIAAA&#10;ACIAAABkcnMvZG93bnJldi54bWxQSwECFAAUAAAACACHTuJAjlUy3kkCAADhBAAADgAAAAAAAAAB&#10;ACAAAAAjAQAAZHJzL2Uyb0RvYy54bWxQSwUGAAAAAAYABgBZAQAA3gUAAAAA&#10;">
                <v:path/>
                <v:fill type="gradient" on="t" angle="90" focussize="0f,0f">
                  <o:fill type="gradientUnscaled" v:ext="backwardCompatible"/>
                </v:fill>
                <v:stroke weight="1.25pt" color="#FFFFFF"/>
                <v:imagedata o:title=""/>
                <o:lock v:ext="edit"/>
                <v:textbox inset="0mm,0mm,0mm,0mm" style="layout-flow:vertical;">
                  <w:txbxContent>
                    <w:p>
                      <w:pPr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— 21 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黑体"/>
          <w:spacing w:val="-4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件</w:t>
      </w:r>
      <w:r>
        <w:rPr>
          <w:rFonts w:ascii="黑体" w:hAnsi="黑体" w:eastAsia="黑体"/>
          <w:spacing w:val="-4"/>
          <w:sz w:val="32"/>
          <w:szCs w:val="32"/>
        </w:rPr>
        <w:t>1</w:t>
      </w:r>
    </w:p>
    <w:p>
      <w:pPr>
        <w:spacing w:after="156" w:afterLines="50" w:line="58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晋城市大面积停电事件分级</w:t>
      </w:r>
    </w:p>
    <w:tbl>
      <w:tblPr>
        <w:tblStyle w:val="8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15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spacing w:val="-5"/>
              </w:rPr>
              <w:t>事件分级</w:t>
            </w:r>
          </w:p>
        </w:tc>
        <w:tc>
          <w:tcPr>
            <w:tcW w:w="11570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</w:rPr>
              <w:t>内</w:t>
            </w:r>
            <w:r>
              <w:rPr>
                <w:rFonts w:hint="eastAsia" w:ascii="黑体" w:hAnsi="黑体" w:eastAsia="黑体"/>
                <w:bCs/>
                <w:lang w:eastAsia="zh-CN"/>
              </w:rPr>
              <w:t xml:space="preserve">        </w:t>
            </w:r>
            <w:r>
              <w:rPr>
                <w:rFonts w:hint="eastAsia" w:ascii="黑体" w:hAnsi="黑体" w:eastAsia="黑体"/>
                <w:bCs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5"/>
                <w:lang w:eastAsia="zh-CN"/>
              </w:rPr>
              <w:t>特别重大</w:t>
            </w:r>
          </w:p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"/>
                <w:lang w:eastAsia="zh-CN"/>
              </w:rPr>
              <w:t>大面积停电</w:t>
            </w:r>
          </w:p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  <w:lang w:eastAsia="zh-CN"/>
              </w:rPr>
              <w:t>事件</w:t>
            </w:r>
          </w:p>
        </w:tc>
        <w:tc>
          <w:tcPr>
            <w:tcW w:w="11570" w:type="dxa"/>
            <w:noWrap w:val="0"/>
            <w:vAlign w:val="center"/>
          </w:tcPr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80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山西电网：负荷20000兆瓦以上时减供负荷30%以上；负荷5000兆瓦以上20000兆瓦以下时减供负荷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40%以上；且对我市电网有特别重大影响。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重大</w:t>
            </w:r>
          </w:p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2"/>
              </w:rPr>
              <w:t>大面积停电</w:t>
            </w:r>
          </w:p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事件</w:t>
            </w:r>
          </w:p>
        </w:tc>
        <w:tc>
          <w:tcPr>
            <w:tcW w:w="11570" w:type="dxa"/>
            <w:noWrap w:val="0"/>
            <w:vAlign w:val="center"/>
          </w:tcPr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80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(1)山西电网：负荷20000兆瓦以上时减供负荷13%以上30%以下；负荷5000兆瓦以上20000兆瓦以下时减供负荷16%以上40%以下；负荷100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0兆瓦以上5000兆瓦以下时减供负荷50%以上；且对我市电网有重大影响。</w:t>
            </w:r>
          </w:p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80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(2)晋城市电网：负荷600兆瓦以上时减供负荷60%以上，或70%以上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供电用户停电。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较大</w:t>
            </w:r>
          </w:p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2"/>
              </w:rPr>
              <w:t>大面积停电</w:t>
            </w:r>
          </w:p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事件</w:t>
            </w:r>
          </w:p>
        </w:tc>
        <w:tc>
          <w:tcPr>
            <w:tcW w:w="11570" w:type="dxa"/>
            <w:noWrap w:val="0"/>
            <w:vAlign w:val="center"/>
          </w:tcPr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80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(1)山西电网：负荷20000兆瓦以上时减供负荷10%以上13%以下；负荷5000兆瓦以上20000兆瓦以下时减供负荷12%以上16%以下；负荷1000兆瓦以上5000兆瓦以下时减供负荷20%以上50%以下；负荷1000兆瓦以下时减供负荷40%以上；且对我市电网有较大影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响。</w:t>
            </w:r>
          </w:p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92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lang w:eastAsia="zh-CN"/>
              </w:rPr>
              <w:t>(2)晋城</w:t>
            </w:r>
            <w:r>
              <w:rPr>
                <w:rFonts w:hint="eastAsia" w:ascii="仿宋_GB2312" w:eastAsia="仿宋_GB2312"/>
                <w:lang w:eastAsia="zh-CN"/>
              </w:rPr>
              <w:t>市</w:t>
            </w:r>
            <w:r>
              <w:rPr>
                <w:rFonts w:hint="eastAsia" w:ascii="仿宋_GB2312" w:eastAsia="仿宋_GB2312"/>
                <w:spacing w:val="3"/>
                <w:lang w:eastAsia="zh-CN"/>
              </w:rPr>
              <w:t>电网：负荷600兆瓦以上时减供负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荷40%以上60%以下，或50%以上70%以下供电用户停电；</w:t>
            </w:r>
            <w:r>
              <w:rPr>
                <w:rFonts w:hint="eastAsia" w:ascii="仿宋_GB2312" w:eastAsia="仿宋_GB2312"/>
                <w:lang w:eastAsia="zh-CN"/>
              </w:rPr>
              <w:t>负荷600兆瓦以下时减供负荷40%以上，或50%以上供电用户停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电。</w:t>
            </w:r>
          </w:p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80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(3)县级市电网：负荷150兆瓦以上时减供负荷60%以上，或70%以上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供电用户停电。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10"/>
              </w:rPr>
              <w:t>一般</w:t>
            </w:r>
          </w:p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2"/>
              </w:rPr>
              <w:t>大面积停电</w:t>
            </w:r>
          </w:p>
          <w:p>
            <w:pPr>
              <w:pStyle w:val="7"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6"/>
              </w:rPr>
              <w:t>事件</w:t>
            </w:r>
          </w:p>
        </w:tc>
        <w:tc>
          <w:tcPr>
            <w:tcW w:w="11570" w:type="dxa"/>
            <w:noWrap w:val="0"/>
            <w:vAlign w:val="center"/>
          </w:tcPr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80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(1)山西电网：负荷20000兆瓦以上时减供负荷5%以上10%以下；负荷5000兆瓦以上20000兆瓦以下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时减供负荷6%以上12%以下；负荷1000兆瓦以上5000兆瓦以下时减供负荷10%以上20%以下；负荷1000</w:t>
            </w:r>
            <w:r>
              <w:rPr>
                <w:rFonts w:hint="eastAsia" w:ascii="仿宋_GB2312" w:eastAsia="仿宋_GB2312"/>
                <w:lang w:eastAsia="zh-CN"/>
              </w:rPr>
              <w:t>兆瓦以下时减供负荷25%以上40%以下；且对我市电网有一定影响。</w:t>
            </w:r>
          </w:p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80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(1)晋城市电网：减供负荷20%以上40%以下，或30%以上50%以下供电用户停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电。</w:t>
            </w:r>
          </w:p>
          <w:p>
            <w:pPr>
              <w:pStyle w:val="7"/>
              <w:widowControl w:val="0"/>
              <w:kinsoku/>
              <w:topLinePunct/>
              <w:autoSpaceDE/>
              <w:autoSpaceDN/>
              <w:spacing w:line="360" w:lineRule="exact"/>
              <w:ind w:firstLine="492" w:firstLineChars="2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lang w:eastAsia="zh-CN"/>
              </w:rPr>
              <w:t>(2)县级</w:t>
            </w:r>
            <w:r>
              <w:rPr>
                <w:rFonts w:hint="eastAsia" w:ascii="仿宋_GB2312" w:eastAsia="仿宋_GB2312"/>
                <w:lang w:eastAsia="zh-CN"/>
              </w:rPr>
              <w:t>市</w:t>
            </w:r>
            <w:r>
              <w:rPr>
                <w:rFonts w:hint="eastAsia" w:ascii="仿宋_GB2312" w:eastAsia="仿宋_GB2312"/>
                <w:spacing w:val="3"/>
                <w:lang w:eastAsia="zh-CN"/>
              </w:rPr>
              <w:t>电网：负荷150兆瓦以上时减供负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荷40%以上60%以下，或50%以上70%以下供电用户停电；</w:t>
            </w:r>
            <w:r>
              <w:rPr>
                <w:rFonts w:hint="eastAsia" w:ascii="仿宋_GB2312" w:eastAsia="仿宋_GB2312"/>
                <w:lang w:eastAsia="zh-CN"/>
              </w:rPr>
              <w:t>负荷150兆瓦以下时减供负荷40%以上，或50%以上供电用户停电。</w:t>
            </w:r>
          </w:p>
        </w:tc>
      </w:tr>
    </w:tbl>
    <w:p>
      <w:pPr>
        <w:pStyle w:val="9"/>
        <w:spacing w:before="156" w:beforeLines="50"/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注：上述所称“以上”包括本数，所称“以下”不包含本数。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274BA"/>
    <w:rsid w:val="34A2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eastAsia="黑体"/>
      <w:sz w:val="28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 Char"/>
    <w:basedOn w:val="1"/>
    <w:link w:val="4"/>
    <w:uiPriority w:val="0"/>
    <w:pPr>
      <w:tabs>
        <w:tab w:val="right" w:leader="middleDot" w:pos="360"/>
      </w:tabs>
    </w:pPr>
    <w:rPr>
      <w:rFonts w:eastAsia="黑体"/>
      <w:sz w:val="28"/>
    </w:rPr>
  </w:style>
  <w:style w:type="character" w:styleId="6">
    <w:name w:val="page number"/>
    <w:basedOn w:val="4"/>
    <w:uiPriority w:val="0"/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_Style 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2025-11-19T02:41:00Z</dcterms:created>
  <dc:creator>Administrator</dc:creator>
  <cp:lastModifiedBy>Administrator</cp:lastModifiedBy>
  <dcterms:modified xsi:type="dcterms:W3CDTF">2025-11-19T02:42:37Z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