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exact"/>
        <w:rPr>
          <w:rFonts w:hint="eastAsia" w:ascii="黑体" w:hAnsi="黑体" w:eastAsia="黑体"/>
          <w:spacing w:val="-4"/>
          <w:sz w:val="32"/>
          <w:szCs w:val="32"/>
        </w:rPr>
      </w:pPr>
      <w:r>
        <w:rPr>
          <w:rFonts w:ascii="黑体" w:hAnsi="黑体" w:eastAsia="黑体" w:cs="黑体"/>
          <w:spacing w:val="-4"/>
          <w:sz w:val="32"/>
          <w:szCs w:val="32"/>
        </w:rPr>
        <w:t>附</w:t>
      </w:r>
      <w:r>
        <w:rPr>
          <w:rFonts w:hint="eastAsia" w:ascii="黑体" w:hAnsi="黑体" w:eastAsia="黑体" w:cs="黑体"/>
          <w:spacing w:val="-4"/>
          <w:sz w:val="32"/>
          <w:szCs w:val="32"/>
        </w:rPr>
        <w:t>件</w:t>
      </w:r>
      <w:r>
        <w:rPr>
          <w:rFonts w:hint="eastAsia" w:ascii="黑体" w:hAnsi="黑体" w:eastAsia="黑体"/>
          <w:spacing w:val="-4"/>
          <w:sz w:val="32"/>
          <w:szCs w:val="32"/>
        </w:rPr>
        <w:t>2</w:t>
      </w:r>
    </w:p>
    <w:p>
      <w:pPr>
        <w:spacing w:after="156" w:afterLines="50" w:line="580" w:lineRule="exact"/>
        <w:jc w:val="center"/>
        <w:outlineLvl w:val="0"/>
        <w:rPr>
          <w:rFonts w:hint="eastAsia" w:ascii="方正小标宋简体" w:hAnsi="宋体" w:eastAsia="方正小标宋简体" w:cs="宋体"/>
          <w:sz w:val="44"/>
          <w:szCs w:val="44"/>
        </w:rPr>
      </w:pPr>
      <w:r>
        <w:rPr>
          <w:rFonts w:ascii="黑体" w:hAnsi="黑体" w:eastAsia="黑体" w:cs="黑体"/>
          <w:spacing w:val="-4"/>
          <w:sz w:val="32"/>
          <w:szCs w:val="32"/>
        </w:rPr>
        <mc:AlternateContent>
          <mc:Choice Requires="wps">
            <w:drawing>
              <wp:anchor distT="0" distB="0" distL="114300" distR="114300" simplePos="0" relativeHeight="251666432" behindDoc="0" locked="0" layoutInCell="1" allowOverlap="1">
                <wp:simplePos x="0" y="0"/>
                <wp:positionH relativeFrom="column">
                  <wp:posOffset>-447675</wp:posOffset>
                </wp:positionH>
                <wp:positionV relativeFrom="paragraph">
                  <wp:posOffset>-354965</wp:posOffset>
                </wp:positionV>
                <wp:extent cx="401955" cy="5590540"/>
                <wp:effectExtent l="7620" t="7620" r="9525" b="21590"/>
                <wp:wrapNone/>
                <wp:docPr id="2" name="矩形 2"/>
                <wp:cNvGraphicFramePr/>
                <a:graphic xmlns:a="http://schemas.openxmlformats.org/drawingml/2006/main">
                  <a:graphicData uri="http://schemas.microsoft.com/office/word/2010/wordprocessingShape">
                    <wps:wsp>
                      <wps:cNvSpPr/>
                      <wps:spPr>
                        <a:xfrm>
                          <a:off x="0" y="0"/>
                          <a:ext cx="401955" cy="5590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sz w:val="28"/>
                                <w:szCs w:val="28"/>
                              </w:rPr>
                            </w:pPr>
                            <w:r>
                              <w:rPr>
                                <w:rFonts w:hint="eastAsia"/>
                                <w:sz w:val="28"/>
                                <w:szCs w:val="28"/>
                              </w:rPr>
                              <w:t>— 22 —</w:t>
                            </w:r>
                          </w:p>
                        </w:txbxContent>
                      </wps:txbx>
                      <wps:bodyPr vert="vert" lIns="0" tIns="0" rIns="0" bIns="0" upright="1"/>
                    </wps:wsp>
                  </a:graphicData>
                </a:graphic>
              </wp:anchor>
            </w:drawing>
          </mc:Choice>
          <mc:Fallback>
            <w:pict>
              <v:rect id="_x0000_s1026" o:spid="_x0000_s1026" o:spt="1" style="position:absolute;left:0pt;margin-left:-35.25pt;margin-top:-27.95pt;height:440.2pt;width:31.65pt;z-index:251666432;mso-width-relative:page;mso-height-relative:page;" fillcolor="#FFFFFF" filled="t" stroked="t" coordsize="21600,21600" o:gfxdata="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yXGbdcAAAAKAQAADwAAAAAAAAAB&#10;ACAAAAAiAAAAZHJzL2Rvd25yZXYueG1sUEsBAhQAFAAAAAgAh07iQA9wBH5KAgAA4QQAAA4AAAAA&#10;AAAAAQAgAAAAJgEAAGRycy9lMm9Eb2MueG1sUEsFBgAAAAAGAAYAWQEAAOIFAAAAAA==&#10;">
                <v:path/>
                <v:fill type="gradient" on="t" angle="90" focussize="0f,0f">
                  <o:fill type="gradientUnscaled" v:ext="backwardCompatible"/>
                </v:fill>
                <v:stroke weight="1.25pt" color="#FFFFFF"/>
                <v:imagedata o:title=""/>
                <o:lock v:ext="edit"/>
                <v:textbox inset="0mm,0mm,0mm,0mm" style="layout-flow:vertical;">
                  <w:txbxContent>
                    <w:p>
                      <w:pPr>
                        <w:rPr>
                          <w:rFonts w:hint="eastAsia"/>
                          <w:sz w:val="28"/>
                          <w:szCs w:val="28"/>
                        </w:rPr>
                      </w:pPr>
                      <w:r>
                        <w:rPr>
                          <w:rFonts w:hint="eastAsia"/>
                          <w:sz w:val="28"/>
                          <w:szCs w:val="28"/>
                        </w:rPr>
                        <w:t>— 22 —</w:t>
                      </w:r>
                    </w:p>
                  </w:txbxContent>
                </v:textbox>
              </v:rect>
            </w:pict>
          </mc:Fallback>
        </mc:AlternateContent>
      </w:r>
      <w:r>
        <w:rPr>
          <w:rFonts w:hint="eastAsia" w:ascii="方正小标宋简体" w:hAnsi="宋体" w:eastAsia="方正小标宋简体" w:cs="宋体"/>
          <w:bCs/>
          <w:sz w:val="44"/>
          <w:szCs w:val="44"/>
        </w:rPr>
        <w:t>晋城市大面积停电事件应急指挥机构职责</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8"/>
        <w:gridCol w:w="2629"/>
        <w:gridCol w:w="9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707" w:type="dxa"/>
            <w:gridSpan w:val="2"/>
            <w:noWrap w:val="0"/>
            <w:vAlign w:val="center"/>
          </w:tcPr>
          <w:p>
            <w:pPr>
              <w:widowControl/>
              <w:kinsoku w:val="0"/>
              <w:autoSpaceDE w:val="0"/>
              <w:autoSpaceDN w:val="0"/>
              <w:adjustRightInd w:val="0"/>
              <w:snapToGrid w:val="0"/>
              <w:jc w:val="center"/>
              <w:textAlignment w:val="baseline"/>
              <w:rPr>
                <w:rFonts w:hint="eastAsia" w:ascii="黑体" w:hAnsi="黑体" w:eastAsia="黑体" w:cs="黑体"/>
                <w:sz w:val="24"/>
              </w:rPr>
            </w:pPr>
            <w:r>
              <w:rPr>
                <w:rFonts w:hint="eastAsia" w:ascii="黑体" w:hAnsi="黑体" w:eastAsia="黑体" w:cs="黑体"/>
                <w:spacing w:val="-3"/>
                <w:sz w:val="24"/>
              </w:rPr>
              <w:t>指挥机构</w:t>
            </w:r>
          </w:p>
        </w:tc>
        <w:tc>
          <w:tcPr>
            <w:tcW w:w="9549" w:type="dxa"/>
            <w:noWrap w:val="0"/>
            <w:vAlign w:val="center"/>
          </w:tcPr>
          <w:p>
            <w:pPr>
              <w:widowControl/>
              <w:kinsoku w:val="0"/>
              <w:autoSpaceDE w:val="0"/>
              <w:autoSpaceDN w:val="0"/>
              <w:adjustRightInd w:val="0"/>
              <w:snapToGrid w:val="0"/>
              <w:jc w:val="center"/>
              <w:textAlignment w:val="baseline"/>
              <w:rPr>
                <w:rFonts w:hint="eastAsia" w:ascii="黑体" w:hAnsi="黑体" w:eastAsia="黑体" w:cs="黑体"/>
                <w:sz w:val="24"/>
              </w:rPr>
            </w:pPr>
            <w:r>
              <w:rPr>
                <w:rFonts w:hint="eastAsia" w:ascii="黑体" w:hAnsi="黑体" w:eastAsia="黑体" w:cs="黑体"/>
                <w:spacing w:val="-5"/>
                <w:sz w:val="24"/>
              </w:rPr>
              <w:t>职</w:t>
            </w:r>
            <w:r>
              <w:rPr>
                <w:rFonts w:hint="eastAsia" w:ascii="黑体" w:hAnsi="黑体" w:eastAsia="黑体" w:cs="黑体"/>
                <w:spacing w:val="7"/>
                <w:sz w:val="24"/>
              </w:rPr>
              <w:t xml:space="preserve">       </w:t>
            </w:r>
            <w:r>
              <w:rPr>
                <w:rFonts w:hint="eastAsia" w:ascii="黑体" w:hAnsi="黑体" w:eastAsia="黑体" w:cs="黑体"/>
                <w:spacing w:val="-5"/>
                <w:sz w:val="24"/>
              </w:rPr>
              <w:t>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8"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指挥长</w:t>
            </w:r>
          </w:p>
        </w:tc>
        <w:tc>
          <w:tcPr>
            <w:tcW w:w="2629" w:type="dxa"/>
            <w:noWrap w:val="0"/>
            <w:vAlign w:val="center"/>
          </w:tcPr>
          <w:p>
            <w:pPr>
              <w:pStyle w:val="6"/>
              <w:spacing w:line="360" w:lineRule="exact"/>
              <w:jc w:val="center"/>
              <w:rPr>
                <w:rFonts w:hint="eastAsia" w:ascii="仿宋_GB2312" w:eastAsia="仿宋_GB2312"/>
                <w:spacing w:val="-3"/>
                <w:lang w:eastAsia="zh-CN"/>
              </w:rPr>
            </w:pPr>
            <w:r>
              <w:rPr>
                <w:rFonts w:hint="eastAsia" w:ascii="仿宋_GB2312" w:eastAsia="仿宋_GB2312"/>
                <w:spacing w:val="-3"/>
                <w:lang w:eastAsia="zh-CN"/>
              </w:rPr>
              <w:t>市人民政府分管能源</w:t>
            </w:r>
          </w:p>
          <w:p>
            <w:pPr>
              <w:pStyle w:val="6"/>
              <w:spacing w:line="360" w:lineRule="exact"/>
              <w:jc w:val="center"/>
              <w:rPr>
                <w:rFonts w:hint="eastAsia" w:ascii="仿宋_GB2312" w:eastAsia="仿宋_GB2312"/>
                <w:lang w:eastAsia="zh-CN"/>
              </w:rPr>
            </w:pPr>
            <w:r>
              <w:rPr>
                <w:rFonts w:hint="eastAsia" w:ascii="仿宋_GB2312" w:eastAsia="仿宋_GB2312"/>
                <w:spacing w:val="-3"/>
                <w:lang w:eastAsia="zh-CN"/>
              </w:rPr>
              <w:t>工作</w:t>
            </w:r>
            <w:r>
              <w:rPr>
                <w:rFonts w:hint="eastAsia" w:ascii="仿宋_GB2312" w:eastAsia="仿宋_GB2312"/>
                <w:spacing w:val="-8"/>
                <w:lang w:eastAsia="zh-CN"/>
              </w:rPr>
              <w:t>的副市长</w:t>
            </w:r>
          </w:p>
        </w:tc>
        <w:tc>
          <w:tcPr>
            <w:tcW w:w="9549" w:type="dxa"/>
            <w:vMerge w:val="restart"/>
            <w:noWrap w:val="0"/>
            <w:vAlign w:val="center"/>
          </w:tcPr>
          <w:p>
            <w:pPr>
              <w:pStyle w:val="6"/>
              <w:spacing w:line="360" w:lineRule="exact"/>
              <w:ind w:right="107" w:firstLine="487"/>
              <w:jc w:val="both"/>
              <w:rPr>
                <w:rFonts w:hint="eastAsia" w:ascii="仿宋_GB2312" w:eastAsia="仿宋_GB2312"/>
                <w:lang w:eastAsia="zh-CN"/>
              </w:rPr>
            </w:pPr>
            <w:r>
              <w:rPr>
                <w:rFonts w:hint="eastAsia" w:ascii="仿宋_GB2312" w:eastAsia="仿宋_GB2312"/>
                <w:b/>
                <w:bCs/>
                <w:lang w:eastAsia="zh-CN"/>
              </w:rPr>
              <w:t>市指挥部主要职责</w:t>
            </w:r>
            <w:r>
              <w:rPr>
                <w:rFonts w:hint="eastAsia" w:ascii="仿宋_GB2312" w:eastAsia="仿宋_GB2312"/>
                <w:b/>
                <w:bCs/>
                <w:spacing w:val="-19"/>
                <w:lang w:eastAsia="zh-CN"/>
              </w:rPr>
              <w:t>：</w:t>
            </w:r>
            <w:r>
              <w:rPr>
                <w:rFonts w:hint="eastAsia" w:ascii="仿宋_GB2312" w:eastAsia="仿宋_GB2312"/>
                <w:spacing w:val="-19"/>
                <w:lang w:eastAsia="zh-CN"/>
              </w:rPr>
              <w:t>（</w:t>
            </w:r>
            <w:r>
              <w:rPr>
                <w:rFonts w:hint="eastAsia" w:ascii="仿宋_GB2312" w:eastAsia="仿宋_GB2312"/>
                <w:lang w:eastAsia="zh-CN"/>
              </w:rPr>
              <w:t>1）负责全市大面积停电事件应急处置的组织领导和指挥协</w:t>
            </w:r>
            <w:r>
              <w:rPr>
                <w:rFonts w:hint="eastAsia" w:ascii="仿宋_GB2312" w:eastAsia="仿宋_GB2312"/>
                <w:spacing w:val="-1"/>
                <w:lang w:eastAsia="zh-CN"/>
              </w:rPr>
              <w:t>调工</w:t>
            </w:r>
            <w:r>
              <w:rPr>
                <w:rFonts w:hint="eastAsia" w:ascii="仿宋_GB2312" w:eastAsia="仿宋_GB2312"/>
                <w:spacing w:val="1"/>
                <w:lang w:eastAsia="zh-CN"/>
              </w:rPr>
              <w:t>作</w:t>
            </w:r>
            <w:r>
              <w:rPr>
                <w:rFonts w:hint="eastAsia" w:ascii="仿宋_GB2312" w:eastAsia="仿宋_GB2312"/>
                <w:spacing w:val="-28"/>
                <w:lang w:eastAsia="zh-CN"/>
              </w:rPr>
              <w:t>；（</w:t>
            </w:r>
            <w:r>
              <w:rPr>
                <w:rFonts w:hint="eastAsia" w:ascii="仿宋_GB2312" w:eastAsia="仿宋_GB2312"/>
                <w:spacing w:val="1"/>
                <w:lang w:eastAsia="zh-CN"/>
              </w:rPr>
              <w:t>2）研究全市电力系统安全稳定运行和电力供应秩序的重要事项，重大应急决策和部</w:t>
            </w:r>
            <w:r>
              <w:rPr>
                <w:rFonts w:hint="eastAsia" w:ascii="仿宋_GB2312" w:eastAsia="仿宋_GB2312"/>
                <w:lang w:eastAsia="zh-CN"/>
              </w:rPr>
              <w:t>署;（3）统一领导大面积停电应急处置、事故抢</w:t>
            </w:r>
            <w:r>
              <w:rPr>
                <w:rFonts w:hint="eastAsia" w:ascii="仿宋_GB2312" w:eastAsia="仿宋_GB2312"/>
                <w:spacing w:val="-1"/>
                <w:lang w:eastAsia="zh-CN"/>
              </w:rPr>
              <w:t>险、电网恢复、信息发布、舆情引导等各项</w:t>
            </w:r>
            <w:r>
              <w:rPr>
                <w:rFonts w:hint="eastAsia" w:ascii="仿宋_GB2312" w:eastAsia="仿宋_GB2312"/>
                <w:lang w:eastAsia="zh-CN"/>
              </w:rPr>
              <w:t>应急工作;（4）协调各相关县（市、区）、各有</w:t>
            </w:r>
            <w:r>
              <w:rPr>
                <w:rFonts w:hint="eastAsia" w:ascii="仿宋_GB2312" w:eastAsia="仿宋_GB2312"/>
                <w:spacing w:val="-1"/>
                <w:lang w:eastAsia="zh-CN"/>
              </w:rPr>
              <w:t>关部门应急指挥机构之间的关系，指挥社会</w:t>
            </w:r>
            <w:r>
              <w:rPr>
                <w:rFonts w:hint="eastAsia" w:ascii="仿宋_GB2312" w:eastAsia="仿宋_GB2312"/>
                <w:lang w:eastAsia="zh-CN"/>
              </w:rPr>
              <w:t>应急救援工作;（5）决定实施和终止应急响应，</w:t>
            </w:r>
            <w:r>
              <w:rPr>
                <w:rFonts w:hint="eastAsia" w:ascii="仿宋_GB2312" w:eastAsia="仿宋_GB2312"/>
                <w:spacing w:val="-1"/>
                <w:lang w:eastAsia="zh-CN"/>
              </w:rPr>
              <w:t>宣布进入和解除应急状态，发布应急指令，</w:t>
            </w:r>
            <w:r>
              <w:rPr>
                <w:rFonts w:hint="eastAsia" w:ascii="仿宋_GB2312" w:eastAsia="仿宋_GB2312"/>
                <w:lang w:eastAsia="zh-CN"/>
              </w:rPr>
              <w:t>按授权发布信息</w:t>
            </w:r>
            <w:r>
              <w:rPr>
                <w:rFonts w:hint="eastAsia" w:ascii="仿宋_GB2312" w:eastAsia="仿宋_GB2312"/>
                <w:spacing w:val="-9"/>
                <w:lang w:eastAsia="zh-CN"/>
              </w:rPr>
              <w:t>；（</w:t>
            </w:r>
            <w:r>
              <w:rPr>
                <w:rFonts w:hint="eastAsia" w:ascii="仿宋_GB2312" w:eastAsia="仿宋_GB2312"/>
                <w:lang w:eastAsia="zh-CN"/>
              </w:rPr>
              <w:t>6）完成市委市政府交办的其他事项。</w:t>
            </w:r>
          </w:p>
          <w:p>
            <w:pPr>
              <w:pStyle w:val="6"/>
              <w:kinsoku/>
              <w:spacing w:line="360" w:lineRule="exact"/>
              <w:ind w:right="45" w:firstLine="482"/>
              <w:jc w:val="both"/>
              <w:rPr>
                <w:rFonts w:hint="eastAsia" w:ascii="仿宋_GB2312" w:eastAsia="仿宋_GB2312"/>
                <w:lang w:eastAsia="zh-CN"/>
              </w:rPr>
            </w:pPr>
            <w:r>
              <w:rPr>
                <w:rFonts w:hint="eastAsia" w:ascii="仿宋_GB2312" w:eastAsia="仿宋_GB2312"/>
                <w:b/>
                <w:bCs/>
                <w:lang w:eastAsia="zh-CN"/>
              </w:rPr>
              <w:t>市指挥部办公室主要职责</w:t>
            </w:r>
            <w:r>
              <w:rPr>
                <w:rFonts w:hint="eastAsia" w:ascii="仿宋_GB2312" w:eastAsia="仿宋_GB2312"/>
                <w:b/>
                <w:bCs/>
                <w:spacing w:val="-18"/>
                <w:lang w:eastAsia="zh-CN"/>
              </w:rPr>
              <w:t>：</w:t>
            </w:r>
            <w:r>
              <w:rPr>
                <w:rFonts w:hint="eastAsia" w:ascii="仿宋_GB2312" w:eastAsia="仿宋_GB2312"/>
                <w:spacing w:val="-18"/>
                <w:lang w:eastAsia="zh-CN"/>
              </w:rPr>
              <w:t>（</w:t>
            </w:r>
            <w:r>
              <w:rPr>
                <w:rFonts w:hint="eastAsia" w:ascii="仿宋_GB2312" w:eastAsia="仿宋_GB2312"/>
                <w:lang w:eastAsia="zh-CN"/>
              </w:rPr>
              <w:t>1）贯彻落实市指挥部的各项工作部署，</w:t>
            </w:r>
            <w:r>
              <w:rPr>
                <w:rFonts w:hint="eastAsia" w:ascii="仿宋_GB2312" w:eastAsia="仿宋_GB2312"/>
                <w:spacing w:val="-1"/>
                <w:lang w:eastAsia="zh-CN"/>
              </w:rPr>
              <w:t>承担市指挥部日</w:t>
            </w:r>
            <w:r>
              <w:rPr>
                <w:rFonts w:hint="eastAsia" w:ascii="仿宋_GB2312" w:eastAsia="仿宋_GB2312"/>
                <w:lang w:eastAsia="zh-CN"/>
              </w:rPr>
              <w:t>常工作</w:t>
            </w:r>
            <w:r>
              <w:rPr>
                <w:rFonts w:hint="eastAsia" w:ascii="仿宋_GB2312" w:eastAsia="仿宋_GB2312"/>
                <w:spacing w:val="-10"/>
                <w:lang w:eastAsia="zh-CN"/>
              </w:rPr>
              <w:t>；（</w:t>
            </w:r>
            <w:r>
              <w:rPr>
                <w:rFonts w:hint="eastAsia" w:ascii="仿宋_GB2312" w:eastAsia="仿宋_GB2312"/>
                <w:lang w:eastAsia="zh-CN"/>
              </w:rPr>
              <w:t>2）收集汇总分析各有关部门电网大面积停电应急处置信息，及时向市指挥部及</w:t>
            </w:r>
            <w:r>
              <w:rPr>
                <w:rFonts w:hint="eastAsia" w:ascii="仿宋_GB2312" w:eastAsia="仿宋_GB2312"/>
                <w:spacing w:val="-1"/>
                <w:lang w:eastAsia="zh-CN"/>
              </w:rPr>
              <w:t>其成员单位通报应急处置工作情况</w:t>
            </w:r>
            <w:r>
              <w:rPr>
                <w:rFonts w:hint="eastAsia" w:ascii="仿宋_GB2312" w:eastAsia="仿宋_GB2312"/>
                <w:spacing w:val="-18"/>
                <w:lang w:eastAsia="zh-CN"/>
              </w:rPr>
              <w:t>；（</w:t>
            </w:r>
            <w:r>
              <w:rPr>
                <w:rFonts w:hint="eastAsia" w:ascii="仿宋_GB2312" w:eastAsia="仿宋_GB2312"/>
                <w:spacing w:val="-1"/>
                <w:lang w:eastAsia="zh-CN"/>
              </w:rPr>
              <w:t>3）落实市指挥部部署的各项任务和下达的</w:t>
            </w:r>
            <w:r>
              <w:rPr>
                <w:rFonts w:hint="eastAsia" w:ascii="仿宋_GB2312" w:eastAsia="仿宋_GB2312"/>
                <w:spacing w:val="-2"/>
                <w:lang w:eastAsia="zh-CN"/>
              </w:rPr>
              <w:t>各项指令；</w:t>
            </w:r>
            <w:r>
              <w:rPr>
                <w:rFonts w:hint="eastAsia" w:ascii="仿宋_GB2312" w:eastAsia="仿宋_GB2312"/>
                <w:spacing w:val="-1"/>
                <w:lang w:eastAsia="zh-CN"/>
              </w:rPr>
              <w:t>（4）组织大面积停电事件风险防控和隐患排查治理工作，及时掌握应急处置和供电恢复情</w:t>
            </w:r>
            <w:r>
              <w:rPr>
                <w:rFonts w:hint="eastAsia" w:ascii="仿宋_GB2312" w:eastAsia="仿宋_GB2312"/>
                <w:spacing w:val="1"/>
                <w:lang w:eastAsia="zh-CN"/>
              </w:rPr>
              <w:t>况</w:t>
            </w:r>
            <w:r>
              <w:rPr>
                <w:rFonts w:hint="eastAsia" w:ascii="仿宋_GB2312" w:eastAsia="仿宋_GB2312"/>
                <w:spacing w:val="-28"/>
                <w:lang w:eastAsia="zh-CN"/>
              </w:rPr>
              <w:t>；（</w:t>
            </w:r>
            <w:r>
              <w:rPr>
                <w:rFonts w:hint="eastAsia" w:ascii="仿宋_GB2312" w:eastAsia="仿宋_GB2312"/>
                <w:spacing w:val="1"/>
                <w:lang w:eastAsia="zh-CN"/>
              </w:rPr>
              <w:t>5）组织制定、修订市级大面积停电事件专项应急预案，指导各县（市、区）人民政</w:t>
            </w:r>
            <w:r>
              <w:rPr>
                <w:rFonts w:hint="eastAsia" w:ascii="仿宋_GB2312" w:eastAsia="仿宋_GB2312"/>
                <w:lang w:eastAsia="zh-CN"/>
              </w:rPr>
              <w:t>府制订应急预案并监督执行情况</w:t>
            </w:r>
            <w:r>
              <w:rPr>
                <w:rFonts w:hint="eastAsia" w:ascii="仿宋_GB2312" w:eastAsia="仿宋_GB2312"/>
                <w:spacing w:val="-9"/>
                <w:lang w:eastAsia="zh-CN"/>
              </w:rPr>
              <w:t>；（</w:t>
            </w:r>
            <w:r>
              <w:rPr>
                <w:rFonts w:hint="eastAsia" w:ascii="仿宋_GB2312" w:eastAsia="仿宋_GB2312"/>
                <w:lang w:eastAsia="zh-CN"/>
              </w:rPr>
              <w:t>6）完成市指挥部交办的其他事项。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8" w:type="dxa"/>
            <w:vMerge w:val="restart"/>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副指挥长</w:t>
            </w:r>
          </w:p>
        </w:tc>
        <w:tc>
          <w:tcPr>
            <w:tcW w:w="2629" w:type="dxa"/>
            <w:noWrap w:val="0"/>
            <w:vAlign w:val="center"/>
          </w:tcPr>
          <w:p>
            <w:pPr>
              <w:pStyle w:val="6"/>
              <w:spacing w:line="360" w:lineRule="exact"/>
              <w:jc w:val="center"/>
              <w:rPr>
                <w:rFonts w:hint="eastAsia" w:ascii="仿宋_GB2312" w:eastAsia="仿宋_GB2312"/>
                <w:spacing w:val="-3"/>
                <w:lang w:eastAsia="zh-CN"/>
              </w:rPr>
            </w:pPr>
            <w:r>
              <w:rPr>
                <w:rFonts w:hint="eastAsia" w:ascii="仿宋_GB2312" w:eastAsia="仿宋_GB2312"/>
                <w:spacing w:val="-3"/>
                <w:lang w:eastAsia="zh-CN"/>
              </w:rPr>
              <w:t>市人民政府协管能源</w:t>
            </w:r>
          </w:p>
          <w:p>
            <w:pPr>
              <w:pStyle w:val="6"/>
              <w:spacing w:line="360" w:lineRule="exact"/>
              <w:jc w:val="center"/>
              <w:rPr>
                <w:rFonts w:hint="eastAsia" w:ascii="仿宋_GB2312" w:eastAsia="仿宋_GB2312"/>
                <w:lang w:eastAsia="zh-CN"/>
              </w:rPr>
            </w:pPr>
            <w:r>
              <w:rPr>
                <w:rFonts w:hint="eastAsia" w:ascii="仿宋_GB2312" w:eastAsia="仿宋_GB2312"/>
                <w:spacing w:val="-3"/>
                <w:lang w:eastAsia="zh-CN"/>
              </w:rPr>
              <w:t>工作</w:t>
            </w:r>
            <w:r>
              <w:rPr>
                <w:rFonts w:hint="eastAsia" w:ascii="仿宋_GB2312" w:eastAsia="仿宋_GB2312"/>
                <w:spacing w:val="-6"/>
                <w:lang w:eastAsia="zh-CN"/>
              </w:rPr>
              <w:t>的副秘书长</w:t>
            </w:r>
          </w:p>
        </w:tc>
        <w:tc>
          <w:tcPr>
            <w:tcW w:w="9549"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4"/>
              </w:rPr>
              <w:t>市能源局局长</w:t>
            </w:r>
          </w:p>
        </w:tc>
        <w:tc>
          <w:tcPr>
            <w:tcW w:w="9549"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lang w:eastAsia="zh-CN"/>
              </w:rPr>
            </w:pPr>
            <w:r>
              <w:rPr>
                <w:rFonts w:hint="eastAsia" w:ascii="仿宋_GB2312" w:eastAsia="仿宋_GB2312"/>
                <w:spacing w:val="-3"/>
                <w:lang w:eastAsia="zh-CN"/>
              </w:rPr>
              <w:t>市发展改革委主任</w:t>
            </w:r>
          </w:p>
        </w:tc>
        <w:tc>
          <w:tcPr>
            <w:tcW w:w="9549"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3"/>
              </w:rPr>
              <w:t>市应急局局长</w:t>
            </w:r>
          </w:p>
        </w:tc>
        <w:tc>
          <w:tcPr>
            <w:tcW w:w="9549"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lang w:eastAsia="zh-CN"/>
              </w:rPr>
            </w:pPr>
            <w:r>
              <w:rPr>
                <w:rFonts w:hint="eastAsia" w:ascii="仿宋_GB2312" w:eastAsia="仿宋_GB2312"/>
                <w:spacing w:val="-4"/>
                <w:lang w:eastAsia="zh-CN"/>
              </w:rPr>
              <w:t>国网晋城供电公司总经理</w:t>
            </w:r>
          </w:p>
        </w:tc>
        <w:tc>
          <w:tcPr>
            <w:tcW w:w="9549"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8" w:type="dxa"/>
            <w:vMerge w:val="restart"/>
            <w:noWrap w:val="0"/>
            <w:vAlign w:val="center"/>
          </w:tcPr>
          <w:p>
            <w:pPr>
              <w:pStyle w:val="6"/>
              <w:spacing w:line="360" w:lineRule="exact"/>
              <w:jc w:val="center"/>
              <w:rPr>
                <w:rFonts w:hint="eastAsia" w:ascii="仿宋_GB2312" w:eastAsia="仿宋_GB2312"/>
              </w:rPr>
            </w:pPr>
            <w:r>
              <w:rPr>
                <w:rFonts w:hint="eastAsia" w:ascii="仿宋_GB2312" w:eastAsia="仿宋_GB2312"/>
                <w:spacing w:val="-5"/>
              </w:rPr>
              <w:t>成员单位</w:t>
            </w: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5"/>
              </w:rPr>
              <w:t>市委宣传部</w:t>
            </w:r>
          </w:p>
        </w:tc>
        <w:tc>
          <w:tcPr>
            <w:tcW w:w="9549" w:type="dxa"/>
            <w:noWrap w:val="0"/>
            <w:vAlign w:val="center"/>
          </w:tcPr>
          <w:p>
            <w:pPr>
              <w:spacing w:line="360" w:lineRule="exact"/>
              <w:ind w:firstLine="480" w:firstLineChars="200"/>
              <w:rPr>
                <w:rFonts w:hint="eastAsia" w:ascii="仿宋_GB2312" w:eastAsia="仿宋_GB2312"/>
                <w:sz w:val="24"/>
              </w:rPr>
            </w:pPr>
            <w:r>
              <w:rPr>
                <w:rFonts w:hint="eastAsia" w:ascii="仿宋_GB2312" w:eastAsia="仿宋_GB2312"/>
                <w:sz w:val="24"/>
              </w:rPr>
              <w:t>按照市指挥部的统一部署，负责组织协调新闻媒体做好应急新闻报道和舆论引导工作。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5"/>
              </w:rPr>
              <w:t>市委网信办</w:t>
            </w:r>
          </w:p>
        </w:tc>
        <w:tc>
          <w:tcPr>
            <w:tcW w:w="9549" w:type="dxa"/>
            <w:noWrap w:val="0"/>
            <w:vAlign w:val="center"/>
          </w:tcPr>
          <w:p>
            <w:pPr>
              <w:spacing w:line="360" w:lineRule="exact"/>
              <w:ind w:firstLine="480" w:firstLineChars="200"/>
              <w:rPr>
                <w:rFonts w:hint="eastAsia" w:ascii="仿宋_GB2312" w:eastAsia="仿宋_GB2312"/>
                <w:sz w:val="24"/>
              </w:rPr>
            </w:pPr>
            <w:r>
              <w:rPr>
                <w:rFonts w:hint="eastAsia" w:ascii="仿宋_GB2312" w:eastAsia="仿宋_GB2312"/>
                <w:sz w:val="24"/>
              </w:rPr>
              <w:t>指导单位做好信息发布、舆情回应和舆论指导工作。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lang w:eastAsia="zh-CN"/>
              </w:rPr>
            </w:pPr>
            <w:r>
              <w:rPr>
                <w:rFonts w:hint="eastAsia" w:ascii="仿宋_GB2312" w:eastAsia="仿宋_GB2312"/>
                <w:spacing w:val="-4"/>
                <w:lang w:eastAsia="zh-CN"/>
              </w:rPr>
              <w:t>晋城军分区</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根据需要负责组织民兵，必要时协调组织驻军、预备役部队参加应急救援。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4"/>
              </w:rPr>
              <w:t>武警晋城支队</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根据需要组织指挥所属部队参与抢险救灾工作；配合公安机关维护当地社会秩序，保卫</w:t>
            </w:r>
            <w:r>
              <w:rPr>
                <w:rFonts w:hint="eastAsia" w:ascii="仿宋_GB2312" w:eastAsia="仿宋_GB2312"/>
                <w:spacing w:val="-5"/>
                <w:lang w:eastAsia="zh-CN"/>
              </w:rPr>
              <w:t>重要目标。</w:t>
            </w:r>
          </w:p>
        </w:tc>
      </w:tr>
    </w:tbl>
    <w:p>
      <w:pPr>
        <w:spacing w:line="240" w:lineRule="exact"/>
        <w:rPr>
          <w:rFonts w:hint="eastAsia"/>
        </w:rPr>
      </w:pPr>
    </w:p>
    <w:p>
      <w:pP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401955" cy="5590540"/>
                <wp:effectExtent l="7620" t="7620" r="9525" b="21590"/>
                <wp:wrapNone/>
                <wp:docPr id="3" name="矩形 3"/>
                <wp:cNvGraphicFramePr/>
                <a:graphic xmlns:a="http://schemas.openxmlformats.org/drawingml/2006/main">
                  <a:graphicData uri="http://schemas.microsoft.com/office/word/2010/wordprocessingShape">
                    <wps:wsp>
                      <wps:cNvSpPr/>
                      <wps:spPr>
                        <a:xfrm>
                          <a:off x="0" y="0"/>
                          <a:ext cx="401955" cy="5590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jc w:val="right"/>
                              <w:rPr>
                                <w:rFonts w:hint="eastAsia"/>
                                <w:sz w:val="28"/>
                                <w:szCs w:val="28"/>
                              </w:rPr>
                            </w:pPr>
                            <w:r>
                              <w:rPr>
                                <w:rFonts w:hint="eastAsia"/>
                                <w:sz w:val="28"/>
                                <w:szCs w:val="28"/>
                              </w:rPr>
                              <w:t>— 23 —</w:t>
                            </w:r>
                          </w:p>
                        </w:txbxContent>
                      </wps:txbx>
                      <wps:bodyPr vert="vert" lIns="0" tIns="0" rIns="0" bIns="0" upright="1"/>
                    </wps:wsp>
                  </a:graphicData>
                </a:graphic>
              </wp:anchor>
            </w:drawing>
          </mc:Choice>
          <mc:Fallback>
            <w:pict>
              <v:rect id="_x0000_s1026" o:spid="_x0000_s1026" o:spt="1" style="position:absolute;left:0pt;margin-left:-36pt;margin-top:0pt;height:440.2pt;width:31.65pt;z-index:251667456;mso-width-relative:page;mso-height-relative:page;" fillcolor="#FFFFFF" filled="t" stroked="t" coordsize="21600,21600" o:gfxdata="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bZ41DUAAAABwEAAA8AAAAAAAAAAQAg&#10;AAAAIgAAAGRycy9kb3ducmV2LnhtbFBLAQIUABQAAAAIAIdO4kBPkcaoSwIAAOEEAAAOAAAAAAAA&#10;AAEAIAAAACMBAABkcnMvZTJvRG9jLnhtbFBLBQYAAAAABgAGAFkBAADgBQAAAAA=&#10;">
                <v:path/>
                <v:fill type="gradient" on="t" angle="90" focussize="0f,0f">
                  <o:fill type="gradientUnscaled" v:ext="backwardCompatible"/>
                </v:fill>
                <v:stroke weight="1.25pt" color="#FFFFFF"/>
                <v:imagedata o:title=""/>
                <o:lock v:ext="edit"/>
                <v:textbox inset="0mm,0mm,0mm,0mm" style="layout-flow:vertical;">
                  <w:txbxContent>
                    <w:p>
                      <w:pPr>
                        <w:jc w:val="right"/>
                        <w:rPr>
                          <w:rFonts w:hint="eastAsia"/>
                          <w:sz w:val="28"/>
                          <w:szCs w:val="28"/>
                        </w:rPr>
                      </w:pPr>
                      <w:r>
                        <w:rPr>
                          <w:rFonts w:hint="eastAsia"/>
                          <w:sz w:val="28"/>
                          <w:szCs w:val="28"/>
                        </w:rPr>
                        <w:t>— 23 —</w:t>
                      </w:r>
                    </w:p>
                  </w:txbxContent>
                </v:textbox>
              </v:rect>
            </w:pict>
          </mc:Fallback>
        </mc:AlternateConten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8"/>
        <w:gridCol w:w="2629"/>
        <w:gridCol w:w="9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707" w:type="dxa"/>
            <w:gridSpan w:val="2"/>
            <w:noWrap w:val="0"/>
            <w:vAlign w:val="center"/>
          </w:tcPr>
          <w:p>
            <w:pPr>
              <w:widowControl/>
              <w:kinsoku w:val="0"/>
              <w:autoSpaceDE w:val="0"/>
              <w:autoSpaceDN w:val="0"/>
              <w:adjustRightInd w:val="0"/>
              <w:snapToGrid w:val="0"/>
              <w:jc w:val="center"/>
              <w:textAlignment w:val="baseline"/>
              <w:rPr>
                <w:rFonts w:hint="eastAsia" w:ascii="黑体" w:hAnsi="黑体" w:eastAsia="黑体" w:cs="黑体"/>
                <w:sz w:val="24"/>
              </w:rPr>
            </w:pPr>
            <w:r>
              <w:rPr>
                <w:rFonts w:hint="eastAsia" w:ascii="黑体" w:hAnsi="黑体" w:eastAsia="黑体" w:cs="黑体"/>
                <w:spacing w:val="-3"/>
                <w:sz w:val="24"/>
              </w:rPr>
              <w:t>指挥机构</w:t>
            </w:r>
          </w:p>
        </w:tc>
        <w:tc>
          <w:tcPr>
            <w:tcW w:w="9549" w:type="dxa"/>
            <w:noWrap w:val="0"/>
            <w:vAlign w:val="center"/>
          </w:tcPr>
          <w:p>
            <w:pPr>
              <w:widowControl/>
              <w:kinsoku w:val="0"/>
              <w:autoSpaceDE w:val="0"/>
              <w:autoSpaceDN w:val="0"/>
              <w:adjustRightInd w:val="0"/>
              <w:snapToGrid w:val="0"/>
              <w:jc w:val="center"/>
              <w:textAlignment w:val="baseline"/>
              <w:rPr>
                <w:rFonts w:hint="eastAsia" w:ascii="黑体" w:hAnsi="黑体" w:eastAsia="黑体" w:cs="黑体"/>
                <w:sz w:val="24"/>
              </w:rPr>
            </w:pPr>
            <w:r>
              <w:rPr>
                <w:rFonts w:hint="eastAsia" w:ascii="黑体" w:hAnsi="黑体" w:eastAsia="黑体" w:cs="黑体"/>
                <w:spacing w:val="-5"/>
                <w:sz w:val="24"/>
              </w:rPr>
              <w:t>职</w:t>
            </w:r>
            <w:r>
              <w:rPr>
                <w:rFonts w:hint="eastAsia" w:ascii="黑体" w:hAnsi="黑体" w:eastAsia="黑体" w:cs="黑体"/>
                <w:spacing w:val="7"/>
                <w:sz w:val="24"/>
              </w:rPr>
              <w:t xml:space="preserve">       </w:t>
            </w:r>
            <w:r>
              <w:rPr>
                <w:rFonts w:hint="eastAsia" w:ascii="黑体" w:hAnsi="黑体" w:eastAsia="黑体" w:cs="黑体"/>
                <w:spacing w:val="-5"/>
                <w:sz w:val="24"/>
              </w:rPr>
              <w:t>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restart"/>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r>
              <w:rPr>
                <w:rFonts w:hint="eastAsia" w:ascii="仿宋_GB2312" w:eastAsia="仿宋_GB2312"/>
                <w:spacing w:val="-5"/>
                <w:sz w:val="24"/>
              </w:rPr>
              <w:t>成员单位</w:t>
            </w: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3"/>
              </w:rPr>
              <w:t>市发展改革委</w:t>
            </w:r>
          </w:p>
        </w:tc>
        <w:tc>
          <w:tcPr>
            <w:tcW w:w="9549" w:type="dxa"/>
            <w:noWrap w:val="0"/>
            <w:vAlign w:val="center"/>
          </w:tcPr>
          <w:p>
            <w:pPr>
              <w:spacing w:line="360" w:lineRule="exact"/>
              <w:ind w:firstLine="480" w:firstLineChars="200"/>
              <w:rPr>
                <w:rFonts w:hint="eastAsia" w:ascii="仿宋_GB2312" w:eastAsia="仿宋_GB2312"/>
                <w:sz w:val="24"/>
              </w:rPr>
            </w:pPr>
            <w:r>
              <w:rPr>
                <w:rFonts w:hint="eastAsia" w:ascii="仿宋_GB2312" w:eastAsia="仿宋_GB2312"/>
                <w:sz w:val="24"/>
              </w:rPr>
              <w:t>负责组织电力企业电力恢复中的重大项目设施规划建设等相关工作；负责市级救灾物资的收储、轮换和日常管理;根据市指挥部的动用指令按程序组织调度。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pacing w:val="-5"/>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3"/>
              </w:rPr>
              <w:t>市工信局</w:t>
            </w:r>
          </w:p>
        </w:tc>
        <w:tc>
          <w:tcPr>
            <w:tcW w:w="9549" w:type="dxa"/>
            <w:noWrap w:val="0"/>
            <w:vAlign w:val="center"/>
          </w:tcPr>
          <w:p>
            <w:pPr>
              <w:spacing w:line="360" w:lineRule="exact"/>
              <w:ind w:firstLine="480" w:firstLineChars="200"/>
              <w:rPr>
                <w:rFonts w:hint="eastAsia" w:ascii="仿宋_GB2312" w:eastAsia="仿宋_GB2312"/>
                <w:sz w:val="24"/>
              </w:rPr>
            </w:pPr>
            <w:r>
              <w:rPr>
                <w:rFonts w:hint="eastAsia" w:ascii="仿宋_GB2312" w:eastAsia="仿宋_GB2312"/>
                <w:sz w:val="24"/>
              </w:rPr>
              <w:t>负责工业企业电力恢复工作中应急救援物资生产组织工作。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pacing w:val="-5"/>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市公安局</w:t>
            </w:r>
          </w:p>
        </w:tc>
        <w:tc>
          <w:tcPr>
            <w:tcW w:w="9549" w:type="dxa"/>
            <w:noWrap w:val="0"/>
            <w:vAlign w:val="center"/>
          </w:tcPr>
          <w:p>
            <w:pPr>
              <w:pStyle w:val="6"/>
              <w:spacing w:before="103" w:line="360" w:lineRule="exact"/>
              <w:ind w:right="108" w:firstLine="476" w:firstLineChars="200"/>
              <w:jc w:val="both"/>
              <w:rPr>
                <w:rFonts w:hint="eastAsia" w:ascii="仿宋_GB2312" w:eastAsia="仿宋_GB2312"/>
                <w:lang w:eastAsia="zh-CN"/>
              </w:rPr>
            </w:pPr>
            <w:r>
              <w:rPr>
                <w:rFonts w:hint="eastAsia" w:ascii="仿宋_GB2312" w:eastAsia="仿宋_GB2312"/>
                <w:spacing w:val="-1"/>
                <w:lang w:eastAsia="zh-CN"/>
              </w:rPr>
              <w:t>负责发生事件区域现场警戒、治安管理工作；打击违法犯罪活动、负责救援现场周边道</w:t>
            </w:r>
            <w:r>
              <w:rPr>
                <w:rFonts w:hint="eastAsia" w:ascii="仿宋_GB2312" w:eastAsia="仿宋_GB2312"/>
                <w:lang w:eastAsia="zh-CN"/>
              </w:rPr>
              <w:t>路交通疏导和人员疏散、保障应急救援道路交通顺</w:t>
            </w:r>
            <w:r>
              <w:rPr>
                <w:rFonts w:hint="eastAsia" w:ascii="仿宋_GB2312" w:eastAsia="仿宋_GB2312"/>
                <w:spacing w:val="-1"/>
                <w:lang w:eastAsia="zh-CN"/>
              </w:rPr>
              <w:t>畅；督促指导事发地关系国际民生、国家</w:t>
            </w:r>
            <w:r>
              <w:rPr>
                <w:rFonts w:hint="eastAsia" w:ascii="仿宋_GB2312" w:eastAsia="仿宋_GB2312"/>
                <w:lang w:eastAsia="zh-CN"/>
              </w:rPr>
              <w:t>安全和公共安全的重点单位加强内部安全保</w:t>
            </w:r>
            <w:r>
              <w:rPr>
                <w:rFonts w:hint="eastAsia" w:ascii="仿宋_GB2312" w:eastAsia="仿宋_GB2312"/>
                <w:spacing w:val="-1"/>
                <w:lang w:eastAsia="zh-CN"/>
              </w:rPr>
              <w:t>卫和秩序维护工作，维护社会稳定。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市财政局</w:t>
            </w:r>
          </w:p>
        </w:tc>
        <w:tc>
          <w:tcPr>
            <w:tcW w:w="9549" w:type="dxa"/>
            <w:noWrap w:val="0"/>
            <w:vAlign w:val="center"/>
          </w:tcPr>
          <w:p>
            <w:pPr>
              <w:pStyle w:val="6"/>
              <w:spacing w:line="360" w:lineRule="exact"/>
              <w:ind w:firstLine="456" w:firstLineChars="200"/>
              <w:jc w:val="both"/>
              <w:rPr>
                <w:rFonts w:hint="eastAsia" w:ascii="仿宋_GB2312" w:eastAsia="仿宋_GB2312"/>
                <w:lang w:eastAsia="zh-CN"/>
              </w:rPr>
            </w:pPr>
            <w:r>
              <w:rPr>
                <w:rFonts w:hint="eastAsia" w:ascii="仿宋_GB2312" w:eastAsia="仿宋_GB2312"/>
                <w:spacing w:val="-6"/>
                <w:lang w:eastAsia="zh-CN"/>
              </w:rPr>
              <w:t>负责电力应急救援工作资金保障。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3"/>
              </w:rPr>
              <w:t>市规划和自然资源局</w:t>
            </w:r>
          </w:p>
        </w:tc>
        <w:tc>
          <w:tcPr>
            <w:tcW w:w="9549" w:type="dxa"/>
            <w:noWrap w:val="0"/>
            <w:vAlign w:val="center"/>
          </w:tcPr>
          <w:p>
            <w:pPr>
              <w:pStyle w:val="6"/>
              <w:spacing w:before="105" w:line="360" w:lineRule="exact"/>
              <w:ind w:right="108" w:firstLine="476" w:firstLineChars="200"/>
              <w:jc w:val="both"/>
              <w:rPr>
                <w:rFonts w:hint="eastAsia" w:ascii="仿宋_GB2312" w:eastAsia="仿宋_GB2312"/>
                <w:lang w:eastAsia="zh-CN"/>
              </w:rPr>
            </w:pPr>
            <w:r>
              <w:rPr>
                <w:rFonts w:hint="eastAsia" w:ascii="仿宋_GB2312" w:eastAsia="仿宋_GB2312"/>
                <w:spacing w:val="-1"/>
                <w:lang w:eastAsia="zh-CN"/>
              </w:rPr>
              <w:t>负责指导相关行业主管部门对造成电力设施破坏的地质灾害进行调查评估；组织做好大面积停电事件发生后森林防火工作，配合加快办理电力抢修使用林地相关工</w:t>
            </w:r>
            <w:r>
              <w:rPr>
                <w:rFonts w:hint="eastAsia" w:ascii="仿宋_GB2312" w:eastAsia="仿宋_GB2312"/>
                <w:spacing w:val="-2"/>
                <w:lang w:eastAsia="zh-CN"/>
              </w:rPr>
              <w:t>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3"/>
              </w:rPr>
              <w:t>市住建局</w:t>
            </w:r>
          </w:p>
        </w:tc>
        <w:tc>
          <w:tcPr>
            <w:tcW w:w="9549" w:type="dxa"/>
            <w:noWrap w:val="0"/>
            <w:vAlign w:val="center"/>
          </w:tcPr>
          <w:p>
            <w:pPr>
              <w:pStyle w:val="6"/>
              <w:spacing w:before="105" w:line="360" w:lineRule="exact"/>
              <w:ind w:right="108" w:firstLine="476" w:firstLineChars="200"/>
              <w:jc w:val="both"/>
              <w:rPr>
                <w:rFonts w:hint="eastAsia" w:ascii="仿宋_GB2312" w:eastAsia="仿宋_GB2312"/>
                <w:lang w:eastAsia="zh-CN"/>
              </w:rPr>
            </w:pPr>
            <w:r>
              <w:rPr>
                <w:rFonts w:hint="eastAsia" w:ascii="仿宋_GB2312" w:eastAsia="仿宋_GB2312"/>
                <w:spacing w:val="-1"/>
                <w:lang w:eastAsia="zh-CN"/>
              </w:rPr>
              <w:t>负责指导因电网大面积停电导致城市供水、排水、燃气、热力、道路照明等市政公用设</w:t>
            </w:r>
            <w:r>
              <w:rPr>
                <w:rFonts w:hint="eastAsia" w:ascii="仿宋_GB2312" w:eastAsia="仿宋_GB2312"/>
                <w:spacing w:val="-2"/>
                <w:lang w:eastAsia="zh-CN"/>
              </w:rPr>
              <w:t>施抢、排险工作。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4"/>
              </w:rPr>
              <w:t>市交通局</w:t>
            </w:r>
          </w:p>
        </w:tc>
        <w:tc>
          <w:tcPr>
            <w:tcW w:w="9549" w:type="dxa"/>
            <w:noWrap w:val="0"/>
            <w:vAlign w:val="center"/>
          </w:tcPr>
          <w:p>
            <w:pPr>
              <w:pStyle w:val="6"/>
              <w:spacing w:before="106" w:line="360" w:lineRule="exact"/>
              <w:ind w:right="108" w:firstLine="480" w:firstLineChars="200"/>
              <w:jc w:val="both"/>
              <w:rPr>
                <w:rFonts w:hint="eastAsia" w:ascii="仿宋_GB2312" w:eastAsia="仿宋_GB2312"/>
                <w:lang w:eastAsia="zh-CN"/>
              </w:rPr>
            </w:pPr>
            <w:r>
              <w:rPr>
                <w:rFonts w:hint="eastAsia" w:ascii="仿宋_GB2312" w:eastAsia="仿宋_GB2312"/>
                <w:lang w:eastAsia="zh-CN"/>
              </w:rPr>
              <w:t>负责统一调集、征用应急救援客货运输车辆，保障发电燃料、抢修救援物资、必要生活资料和抢修救援人员公路运输的通行。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市水务局</w:t>
            </w:r>
          </w:p>
        </w:tc>
        <w:tc>
          <w:tcPr>
            <w:tcW w:w="9549" w:type="dxa"/>
            <w:noWrap w:val="0"/>
            <w:vAlign w:val="center"/>
          </w:tcPr>
          <w:p>
            <w:pPr>
              <w:pStyle w:val="6"/>
              <w:spacing w:line="360" w:lineRule="exact"/>
              <w:ind w:firstLine="480" w:firstLineChars="200"/>
              <w:jc w:val="both"/>
              <w:rPr>
                <w:rFonts w:hint="eastAsia" w:ascii="仿宋_GB2312" w:eastAsia="仿宋_GB2312"/>
                <w:color w:val="auto"/>
                <w:lang w:eastAsia="zh-CN"/>
              </w:rPr>
            </w:pPr>
            <w:r>
              <w:rPr>
                <w:rFonts w:hint="eastAsia" w:ascii="仿宋_GB2312" w:eastAsia="仿宋_GB2312"/>
                <w:color w:val="auto"/>
                <w:lang w:eastAsia="zh-CN"/>
              </w:rPr>
              <w:t>组织做好生活用水和水利工程供水的应急处置工作。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市商务局</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做好全市行政区域内大面积停电事件期间对全市重要生活必需品的价格监测工作。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3"/>
              </w:rPr>
              <w:t>市卫健委</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督导受影响地区医疗卫生机构实施应急电源启动和临时应急措施，保障医疗卫生服务有</w:t>
            </w:r>
            <w:r>
              <w:rPr>
                <w:rFonts w:hint="eastAsia" w:ascii="仿宋_GB2312" w:eastAsia="仿宋_GB2312"/>
                <w:spacing w:val="-2"/>
                <w:lang w:eastAsia="zh-CN"/>
              </w:rPr>
              <w:t>序正常，保障人民群众生命安全。</w:t>
            </w:r>
          </w:p>
        </w:tc>
      </w:tr>
    </w:tbl>
    <w:p>
      <w:pP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0</wp:posOffset>
                </wp:positionV>
                <wp:extent cx="401955" cy="5590540"/>
                <wp:effectExtent l="7620" t="7620" r="9525" b="21590"/>
                <wp:wrapNone/>
                <wp:docPr id="4" name="矩形 4"/>
                <wp:cNvGraphicFramePr/>
                <a:graphic xmlns:a="http://schemas.openxmlformats.org/drawingml/2006/main">
                  <a:graphicData uri="http://schemas.microsoft.com/office/word/2010/wordprocessingShape">
                    <wps:wsp>
                      <wps:cNvSpPr/>
                      <wps:spPr>
                        <a:xfrm>
                          <a:off x="0" y="0"/>
                          <a:ext cx="401955" cy="5590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rPr>
                                <w:rFonts w:hint="eastAsia"/>
                                <w:sz w:val="28"/>
                                <w:szCs w:val="28"/>
                              </w:rPr>
                            </w:pPr>
                            <w:r>
                              <w:rPr>
                                <w:rFonts w:hint="eastAsia"/>
                                <w:sz w:val="28"/>
                                <w:szCs w:val="28"/>
                              </w:rPr>
                              <w:t>— 24 —</w:t>
                            </w:r>
                          </w:p>
                        </w:txbxContent>
                      </wps:txbx>
                      <wps:bodyPr vert="vert" lIns="0" tIns="0" rIns="0" bIns="0" upright="1"/>
                    </wps:wsp>
                  </a:graphicData>
                </a:graphic>
              </wp:anchor>
            </w:drawing>
          </mc:Choice>
          <mc:Fallback>
            <w:pict>
              <v:rect id="_x0000_s1026" o:spid="_x0000_s1026" o:spt="1" style="position:absolute;left:0pt;margin-left:-36pt;margin-top:0pt;height:440.2pt;width:31.65pt;z-index:251669504;mso-width-relative:page;mso-height-relative:page;" fillcolor="#FFFFFF" filled="t" stroked="t" coordsize="21600,21600" o:gfxdata="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tnjUNQAAAAHAQAADwAAAAAAAAABACAA&#10;AAAiAAAAZHJzL2Rvd25yZXYueG1sUEsBAhQAFAAAAAgAh07iQEw9GeVKAgAA4QQAAA4AAAAAAAAA&#10;AQAgAAAAIwEAAGRycy9lMm9Eb2MueG1sUEsFBgAAAAAGAAYAWQEAAN8FAAAAAA==&#10;">
                <v:path/>
                <v:fill type="gradient" on="t" angle="90" focussize="0f,0f">
                  <o:fill type="gradientUnscaled" v:ext="backwardCompatible"/>
                </v:fill>
                <v:stroke weight="1.25pt" color="#FFFFFF"/>
                <v:imagedata o:title=""/>
                <o:lock v:ext="edit"/>
                <v:textbox inset="0mm,0mm,0mm,0mm" style="layout-flow:vertical;">
                  <w:txbxContent>
                    <w:p>
                      <w:pPr>
                        <w:rPr>
                          <w:rFonts w:hint="eastAsia"/>
                          <w:sz w:val="28"/>
                          <w:szCs w:val="28"/>
                        </w:rPr>
                      </w:pPr>
                      <w:r>
                        <w:rPr>
                          <w:rFonts w:hint="eastAsia"/>
                          <w:sz w:val="28"/>
                          <w:szCs w:val="28"/>
                        </w:rPr>
                        <w:t>— 24 —</w:t>
                      </w:r>
                    </w:p>
                  </w:txbxContent>
                </v:textbox>
              </v:rect>
            </w:pict>
          </mc:Fallback>
        </mc:AlternateConten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8"/>
        <w:gridCol w:w="2629"/>
        <w:gridCol w:w="9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707" w:type="dxa"/>
            <w:gridSpan w:val="2"/>
            <w:noWrap w:val="0"/>
            <w:vAlign w:val="center"/>
          </w:tcPr>
          <w:p>
            <w:pPr>
              <w:widowControl/>
              <w:kinsoku w:val="0"/>
              <w:autoSpaceDE w:val="0"/>
              <w:autoSpaceDN w:val="0"/>
              <w:adjustRightInd w:val="0"/>
              <w:snapToGrid w:val="0"/>
              <w:jc w:val="center"/>
              <w:textAlignment w:val="baseline"/>
              <w:rPr>
                <w:rFonts w:hint="eastAsia" w:ascii="黑体" w:hAnsi="黑体" w:eastAsia="黑体" w:cs="黑体"/>
                <w:sz w:val="24"/>
              </w:rPr>
            </w:pPr>
            <w:r>
              <w:rPr>
                <w:rFonts w:hint="eastAsia" w:ascii="黑体" w:hAnsi="黑体" w:eastAsia="黑体" w:cs="黑体"/>
                <w:spacing w:val="-3"/>
                <w:sz w:val="24"/>
              </w:rPr>
              <w:t>指挥机构</w:t>
            </w:r>
          </w:p>
        </w:tc>
        <w:tc>
          <w:tcPr>
            <w:tcW w:w="9549" w:type="dxa"/>
            <w:noWrap w:val="0"/>
            <w:vAlign w:val="center"/>
          </w:tcPr>
          <w:p>
            <w:pPr>
              <w:widowControl/>
              <w:kinsoku w:val="0"/>
              <w:autoSpaceDE w:val="0"/>
              <w:autoSpaceDN w:val="0"/>
              <w:adjustRightInd w:val="0"/>
              <w:snapToGrid w:val="0"/>
              <w:jc w:val="center"/>
              <w:textAlignment w:val="baseline"/>
              <w:rPr>
                <w:rFonts w:hint="eastAsia" w:ascii="黑体" w:hAnsi="黑体" w:eastAsia="黑体" w:cs="黑体"/>
                <w:sz w:val="24"/>
              </w:rPr>
            </w:pPr>
            <w:r>
              <w:rPr>
                <w:rFonts w:hint="eastAsia" w:ascii="黑体" w:hAnsi="黑体" w:eastAsia="黑体" w:cs="黑体"/>
                <w:spacing w:val="-5"/>
                <w:sz w:val="24"/>
              </w:rPr>
              <w:t>职</w:t>
            </w:r>
            <w:r>
              <w:rPr>
                <w:rFonts w:hint="eastAsia" w:ascii="黑体" w:hAnsi="黑体" w:eastAsia="黑体" w:cs="黑体"/>
                <w:spacing w:val="7"/>
                <w:sz w:val="24"/>
              </w:rPr>
              <w:t xml:space="preserve">       </w:t>
            </w:r>
            <w:r>
              <w:rPr>
                <w:rFonts w:hint="eastAsia" w:ascii="黑体" w:hAnsi="黑体" w:eastAsia="黑体" w:cs="黑体"/>
                <w:spacing w:val="-5"/>
                <w:sz w:val="24"/>
              </w:rPr>
              <w:t>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restart"/>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r>
              <w:rPr>
                <w:rFonts w:hint="eastAsia" w:ascii="仿宋_GB2312" w:eastAsia="仿宋_GB2312"/>
                <w:spacing w:val="-5"/>
                <w:sz w:val="24"/>
              </w:rPr>
              <w:t>成员单位</w:t>
            </w: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4"/>
              </w:rPr>
              <w:t>市应急局</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配合市指挥部组织协调事件救援救助工作，提出安全预防和救助建议；负责应急救援综合协调工作。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市能源局</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负责指导电力供应平衡工作;负责制定事故状态下拉闸限电序位表、保电序位表和恢复</w:t>
            </w:r>
            <w:r>
              <w:rPr>
                <w:rFonts w:hint="eastAsia" w:ascii="仿宋_GB2312" w:eastAsia="仿宋_GB2312"/>
                <w:lang w:eastAsia="zh-CN"/>
              </w:rPr>
              <w:t>供电序位表;负责组织电力企业恢复电力设施规划</w:t>
            </w:r>
            <w:r>
              <w:rPr>
                <w:rFonts w:hint="eastAsia" w:ascii="仿宋_GB2312" w:eastAsia="仿宋_GB2312"/>
                <w:spacing w:val="-1"/>
                <w:lang w:eastAsia="zh-CN"/>
              </w:rPr>
              <w:t>建设等相关工作；协调全市发、供、用电力资源的紧急调配及发电企业燃料在应急状态下的供应工作。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ascii="仿宋_GB2312" w:eastAsia="仿宋_GB2312"/>
                <w:lang w:eastAsia="zh-CN"/>
              </w:rPr>
            </w:pPr>
            <w:r>
              <w:rPr>
                <w:rFonts w:hint="eastAsia" w:ascii="仿宋_GB2312" w:eastAsia="仿宋_GB2312"/>
                <w:spacing w:val="-4"/>
              </w:rPr>
              <w:t>市</w:t>
            </w:r>
            <w:r>
              <w:rPr>
                <w:rFonts w:hint="eastAsia" w:ascii="仿宋_GB2312" w:eastAsia="仿宋_GB2312"/>
                <w:spacing w:val="-4"/>
                <w:lang w:eastAsia="zh-CN"/>
              </w:rPr>
              <w:t>融媒体中心</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配合相关部门，协调相关媒体做好处置大面积停电事件的信息发布、应急公益宣传</w:t>
            </w:r>
            <w:r>
              <w:rPr>
                <w:rFonts w:hint="eastAsia" w:ascii="仿宋_GB2312" w:eastAsia="仿宋_GB2312"/>
                <w:spacing w:val="14"/>
                <w:lang w:eastAsia="zh-CN"/>
              </w:rPr>
              <w:t xml:space="preserve"> </w:t>
            </w:r>
            <w:r>
              <w:rPr>
                <w:rFonts w:hint="eastAsia" w:ascii="仿宋_GB2312" w:eastAsia="仿宋_GB2312"/>
                <w:spacing w:val="-3"/>
                <w:lang w:eastAsia="zh-CN"/>
              </w:rPr>
              <w:t>及应急广播等。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市气象局</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负责根据电网大面积停电事件应急处置需要，提供相关气象信息。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center"/>
          </w:tcPr>
          <w:p>
            <w:pPr>
              <w:pStyle w:val="6"/>
              <w:spacing w:line="360" w:lineRule="exact"/>
              <w:jc w:val="center"/>
              <w:rPr>
                <w:rFonts w:hint="eastAsia" w:ascii="仿宋_GB2312" w:eastAsia="仿宋_GB2312"/>
              </w:rPr>
            </w:pPr>
            <w:r>
              <w:rPr>
                <w:rFonts w:hint="eastAsia" w:ascii="仿宋_GB2312" w:eastAsia="仿宋_GB2312"/>
                <w:spacing w:val="-6"/>
              </w:rPr>
              <w:t>国网晋城供电公司</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负责按照调度管理权限开展电网恢复，具体实施辖区内的大面积停电事件应急处置工作和应急抢修工作；加强日常应急管理工作，不断完善企业应急预案，及</w:t>
            </w:r>
            <w:r>
              <w:rPr>
                <w:rFonts w:hint="eastAsia" w:ascii="仿宋_GB2312" w:eastAsia="仿宋_GB2312"/>
                <w:spacing w:val="-2"/>
                <w:lang w:eastAsia="zh-CN"/>
              </w:rPr>
              <w:t>时向国网山西省电力公司请示和汇报。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jc w:val="center"/>
        </w:trPr>
        <w:tc>
          <w:tcPr>
            <w:tcW w:w="1078" w:type="dxa"/>
            <w:vMerge w:val="continue"/>
            <w:noWrap w:val="0"/>
            <w:vAlign w:val="center"/>
          </w:tcPr>
          <w:p>
            <w:pPr>
              <w:widowControl/>
              <w:kinsoku w:val="0"/>
              <w:autoSpaceDE w:val="0"/>
              <w:autoSpaceDN w:val="0"/>
              <w:adjustRightInd w:val="0"/>
              <w:snapToGrid w:val="0"/>
              <w:spacing w:line="360" w:lineRule="exact"/>
              <w:jc w:val="center"/>
              <w:textAlignment w:val="baseline"/>
              <w:rPr>
                <w:rFonts w:hint="eastAsia" w:ascii="仿宋_GB2312" w:eastAsia="仿宋_GB2312"/>
                <w:sz w:val="24"/>
              </w:rPr>
            </w:pPr>
          </w:p>
        </w:tc>
        <w:tc>
          <w:tcPr>
            <w:tcW w:w="2629" w:type="dxa"/>
            <w:noWrap w:val="0"/>
            <w:vAlign w:val="top"/>
          </w:tcPr>
          <w:p>
            <w:pPr>
              <w:pStyle w:val="6"/>
              <w:spacing w:line="360" w:lineRule="exact"/>
              <w:jc w:val="center"/>
              <w:rPr>
                <w:rFonts w:hint="eastAsia" w:ascii="仿宋_GB2312" w:eastAsia="仿宋_GB2312"/>
                <w:spacing w:val="-6"/>
                <w:lang w:eastAsia="zh-CN"/>
              </w:rPr>
            </w:pPr>
            <w:r>
              <w:rPr>
                <w:rFonts w:hint="eastAsia" w:ascii="仿宋_GB2312" w:eastAsia="仿宋_GB2312"/>
                <w:spacing w:val="-6"/>
                <w:lang w:eastAsia="zh-CN"/>
              </w:rPr>
              <w:t>中国移动晋城分公司</w:t>
            </w:r>
          </w:p>
          <w:p>
            <w:pPr>
              <w:pStyle w:val="6"/>
              <w:spacing w:line="360" w:lineRule="exact"/>
              <w:jc w:val="center"/>
              <w:rPr>
                <w:rFonts w:hint="eastAsia" w:ascii="仿宋_GB2312" w:eastAsia="仿宋_GB2312"/>
                <w:lang w:eastAsia="zh-CN"/>
              </w:rPr>
            </w:pPr>
            <w:r>
              <w:rPr>
                <w:rFonts w:hint="eastAsia" w:ascii="仿宋_GB2312" w:eastAsia="仿宋_GB2312"/>
                <w:spacing w:val="-6"/>
                <w:lang w:eastAsia="zh-CN"/>
              </w:rPr>
              <w:t>中国联通晋城分公司</w:t>
            </w:r>
          </w:p>
          <w:p>
            <w:pPr>
              <w:pStyle w:val="6"/>
              <w:spacing w:line="360" w:lineRule="exact"/>
              <w:jc w:val="center"/>
              <w:rPr>
                <w:rFonts w:hint="eastAsia" w:ascii="仿宋_GB2312" w:eastAsia="仿宋_GB2312"/>
              </w:rPr>
            </w:pPr>
            <w:r>
              <w:rPr>
                <w:rFonts w:hint="eastAsia" w:ascii="仿宋_GB2312" w:eastAsia="仿宋_GB2312"/>
                <w:spacing w:val="-6"/>
              </w:rPr>
              <w:t>中国电信晋城分公司</w:t>
            </w:r>
          </w:p>
        </w:tc>
        <w:tc>
          <w:tcPr>
            <w:tcW w:w="9549" w:type="dxa"/>
            <w:noWrap w:val="0"/>
            <w:vAlign w:val="center"/>
          </w:tcPr>
          <w:p>
            <w:pPr>
              <w:pStyle w:val="6"/>
              <w:spacing w:line="360" w:lineRule="exact"/>
              <w:ind w:firstLine="476" w:firstLineChars="200"/>
              <w:jc w:val="both"/>
              <w:rPr>
                <w:rFonts w:hint="eastAsia" w:ascii="仿宋_GB2312" w:eastAsia="仿宋_GB2312"/>
                <w:lang w:eastAsia="zh-CN"/>
              </w:rPr>
            </w:pPr>
            <w:r>
              <w:rPr>
                <w:rFonts w:hint="eastAsia" w:ascii="仿宋_GB2312" w:eastAsia="仿宋_GB2312"/>
                <w:spacing w:val="-1"/>
                <w:lang w:eastAsia="zh-CN"/>
              </w:rPr>
              <w:t>负责组织协调各运营企业做好通信保障应急工</w:t>
            </w:r>
            <w:r>
              <w:rPr>
                <w:rFonts w:hint="eastAsia" w:ascii="仿宋_GB2312" w:eastAsia="仿宋_GB2312"/>
                <w:spacing w:val="-2"/>
                <w:lang w:eastAsia="zh-CN"/>
              </w:rPr>
              <w:t>作。</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274BA"/>
    <w:rsid w:val="34A274BA"/>
    <w:rsid w:val="4DFB2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1"/>
    <w:qFormat/>
    <w:uiPriority w:val="0"/>
    <w:pPr>
      <w:widowControl w:val="0"/>
      <w:jc w:val="both"/>
    </w:pPr>
    <w:rPr>
      <w:rFonts w:ascii="仿宋" w:hAnsi="仿宋" w:eastAsia="仿宋" w:cs="Times New Roman"/>
      <w:kern w:val="2"/>
      <w:sz w:val="21"/>
      <w:szCs w:val="22"/>
      <w:lang w:val="en-US" w:eastAsia="zh-CN" w:bidi="ar-SA"/>
    </w:rPr>
  </w:style>
  <w:style w:type="table" w:customStyle="1" w:styleId="5">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6">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2025-11-19T02:41:00Z</dcterms:created>
  <dc:creator>Administrator</dc:creator>
  <cp:lastModifiedBy>Administrator</cp:lastModifiedBy>
  <dcterms:modified xsi:type="dcterms:W3CDTF">2025-11-19T02:44:25Z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